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sz w:val="32"/>
          <w:szCs w:val="32"/>
        </w:rPr>
      </w:pPr>
      <w:r>
        <w:rPr>
          <w:rFonts w:hint="eastAsia" w:ascii="黑体" w:hAnsi="黑体" w:eastAsia="黑体"/>
          <w:sz w:val="32"/>
          <w:szCs w:val="32"/>
        </w:rPr>
        <w:t>落实“强基工程</w:t>
      </w:r>
      <w:r>
        <w:rPr>
          <w:rFonts w:ascii="黑体" w:hAnsi="黑体" w:eastAsia="黑体"/>
          <w:sz w:val="32"/>
          <w:szCs w:val="32"/>
        </w:rPr>
        <w:t>”</w:t>
      </w:r>
      <w:r>
        <w:rPr>
          <w:rFonts w:hint="eastAsia" w:ascii="黑体" w:hAnsi="黑体" w:eastAsia="黑体"/>
          <w:sz w:val="32"/>
          <w:szCs w:val="32"/>
        </w:rPr>
        <w:t xml:space="preserve">  全税费种知识融合与技能提升培训班</w:t>
      </w:r>
    </w:p>
    <w:p>
      <w:pPr>
        <w:snapToGrid w:val="0"/>
        <w:spacing w:after="156" w:afterLines="50" w:line="360" w:lineRule="auto"/>
        <w:jc w:val="center"/>
        <w:rPr>
          <w:rFonts w:hint="eastAsia" w:ascii="黑体" w:hAnsi="黑体" w:eastAsia="黑体"/>
          <w:sz w:val="32"/>
          <w:szCs w:val="32"/>
        </w:rPr>
      </w:pPr>
      <w:r>
        <w:rPr>
          <w:rFonts w:hint="eastAsia" w:ascii="黑体" w:hAnsi="黑体" w:eastAsia="黑体"/>
          <w:sz w:val="32"/>
          <w:szCs w:val="32"/>
        </w:rPr>
        <w:t>项目</w:t>
      </w:r>
      <w:r>
        <w:rPr>
          <w:rFonts w:hint="eastAsia" w:ascii="黑体" w:hAnsi="黑体" w:eastAsia="黑体" w:cs="仿宋"/>
          <w:sz w:val="32"/>
          <w:szCs w:val="32"/>
        </w:rPr>
        <w:t>计划书</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依据税收征管改革规划，2023年国家税务总局提出全税费种融合的工作部署，2024年国家税务总局提出与业务改革相适应的人才培养模式“强基工程”。基层税务干部如何在征管数字化转型中精准掌握全税费种知识和技能，相关培训迫在眉睫。</w:t>
      </w:r>
    </w:p>
    <w:p>
      <w:p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一、培训对象</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各条线基层税务局青年税务干部</w:t>
      </w:r>
    </w:p>
    <w:p>
      <w:p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二、培训目标</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项目以全税费种为立足点，通过“全而精”的培训课程，使参训人员全面、精准掌握各税种税收政策的重点、难点问题，提升虚开发票管理能力和全税费种联动风险识别技能等内容，多层次、多角度、全要素地提高税务人员对全税费种业务融合的能力，从而提升参训人员工作质效。</w:t>
      </w:r>
    </w:p>
    <w:p>
      <w:p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三、培训时间</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在校培训时间共10天，其中课堂教学8天，报到、返程</w:t>
      </w:r>
      <w:r>
        <w:rPr>
          <w:rFonts w:ascii="仿宋" w:hAnsi="仿宋" w:eastAsia="仿宋" w:cs="仿宋"/>
          <w:sz w:val="28"/>
          <w:szCs w:val="28"/>
        </w:rPr>
        <w:t>2</w:t>
      </w:r>
      <w:r>
        <w:rPr>
          <w:rFonts w:hint="eastAsia" w:ascii="仿宋" w:hAnsi="仿宋" w:eastAsia="仿宋" w:cs="仿宋"/>
          <w:sz w:val="28"/>
          <w:szCs w:val="28"/>
        </w:rPr>
        <w:t>天。</w:t>
      </w:r>
    </w:p>
    <w:p>
      <w:p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四、课程设置</w:t>
      </w:r>
    </w:p>
    <w:tbl>
      <w:tblPr>
        <w:tblStyle w:val="2"/>
        <w:tblW w:w="89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3196"/>
        <w:gridCol w:w="1331"/>
        <w:gridCol w:w="1512"/>
        <w:gridCol w:w="14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2" w:hRule="atLeast"/>
          <w:jc w:val="center"/>
        </w:trPr>
        <w:tc>
          <w:tcPr>
            <w:tcW w:w="1476" w:type="dxa"/>
            <w:tcBorders>
              <w:top w:val="single" w:color="auto" w:sz="12" w:space="0"/>
              <w:bottom w:val="single" w:color="auto" w:sz="6"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模</w:t>
            </w:r>
            <w:r>
              <w:rPr>
                <w:rFonts w:ascii="仿宋" w:hAnsi="仿宋" w:eastAsia="仿宋" w:cs="仿宋"/>
                <w:b/>
                <w:sz w:val="24"/>
              </w:rPr>
              <w:t xml:space="preserve"> </w:t>
            </w:r>
            <w:r>
              <w:rPr>
                <w:rFonts w:hint="eastAsia" w:ascii="仿宋" w:hAnsi="仿宋" w:eastAsia="仿宋" w:cs="仿宋"/>
                <w:b/>
                <w:sz w:val="24"/>
              </w:rPr>
              <w:t>块</w:t>
            </w:r>
          </w:p>
        </w:tc>
        <w:tc>
          <w:tcPr>
            <w:tcW w:w="3196" w:type="dxa"/>
            <w:tcBorders>
              <w:top w:val="single" w:color="auto" w:sz="12" w:space="0"/>
              <w:bottom w:val="single" w:color="auto" w:sz="6" w:space="0"/>
            </w:tcBorders>
            <w:vAlign w:val="center"/>
          </w:tcPr>
          <w:p>
            <w:pPr>
              <w:snapToGrid w:val="0"/>
              <w:spacing w:line="360" w:lineRule="exact"/>
              <w:ind w:firstLine="472" w:firstLineChars="196"/>
              <w:jc w:val="center"/>
              <w:rPr>
                <w:rFonts w:hint="eastAsia" w:ascii="仿宋" w:hAnsi="仿宋" w:eastAsia="仿宋" w:cs="仿宋"/>
                <w:b/>
                <w:sz w:val="24"/>
              </w:rPr>
            </w:pPr>
            <w:r>
              <w:rPr>
                <w:rFonts w:hint="eastAsia" w:ascii="仿宋" w:hAnsi="仿宋" w:eastAsia="仿宋" w:cs="仿宋"/>
                <w:b/>
                <w:sz w:val="24"/>
              </w:rPr>
              <w:t>培训内容</w:t>
            </w:r>
          </w:p>
        </w:tc>
        <w:tc>
          <w:tcPr>
            <w:tcW w:w="1331" w:type="dxa"/>
            <w:tcBorders>
              <w:top w:val="single" w:color="auto" w:sz="12" w:space="0"/>
              <w:bottom w:val="single" w:color="auto" w:sz="6"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课时（天）</w:t>
            </w:r>
          </w:p>
        </w:tc>
        <w:tc>
          <w:tcPr>
            <w:tcW w:w="1512" w:type="dxa"/>
            <w:tcBorders>
              <w:top w:val="single" w:color="auto" w:sz="12" w:space="0"/>
              <w:bottom w:val="single" w:color="auto" w:sz="6" w:space="0"/>
              <w:right w:val="single" w:color="auto" w:sz="4"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拟聘师资</w:t>
            </w:r>
          </w:p>
        </w:tc>
        <w:tc>
          <w:tcPr>
            <w:tcW w:w="1441" w:type="dxa"/>
            <w:tcBorders>
              <w:top w:val="single" w:color="auto" w:sz="12" w:space="0"/>
              <w:left w:val="single" w:color="auto" w:sz="4" w:space="0"/>
              <w:bottom w:val="single" w:color="auto" w:sz="6"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bCs/>
                <w:sz w:val="24"/>
              </w:rPr>
              <w:t>教学方法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jc w:val="center"/>
        </w:trPr>
        <w:tc>
          <w:tcPr>
            <w:tcW w:w="1476" w:type="dxa"/>
            <w:vMerge w:val="restart"/>
            <w:tcBorders>
              <w:top w:val="single" w:color="auto" w:sz="6"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党的理论与党性教育</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（1天）</w:t>
            </w:r>
          </w:p>
        </w:tc>
        <w:tc>
          <w:tcPr>
            <w:tcW w:w="3196" w:type="dxa"/>
            <w:tcBorders>
              <w:top w:val="single" w:color="auto" w:sz="6" w:space="0"/>
            </w:tcBorders>
          </w:tcPr>
          <w:p>
            <w:pPr>
              <w:spacing w:line="360" w:lineRule="exact"/>
              <w:jc w:val="left"/>
              <w:rPr>
                <w:rFonts w:hint="eastAsia" w:ascii="仿宋" w:hAnsi="仿宋" w:eastAsia="仿宋"/>
                <w:sz w:val="24"/>
              </w:rPr>
            </w:pPr>
            <w:r>
              <w:rPr>
                <w:rFonts w:hint="eastAsia" w:ascii="仿宋" w:hAnsi="仿宋" w:eastAsia="仿宋"/>
                <w:sz w:val="24"/>
              </w:rPr>
              <w:t>1.党的理论与党性教育相关课程</w:t>
            </w:r>
          </w:p>
        </w:tc>
        <w:tc>
          <w:tcPr>
            <w:tcW w:w="1331" w:type="dxa"/>
            <w:tcBorders>
              <w:top w:val="single" w:color="auto" w:sz="6" w:space="0"/>
            </w:tcBorders>
            <w:vAlign w:val="center"/>
          </w:tcPr>
          <w:p>
            <w:pPr>
              <w:snapToGrid w:val="0"/>
              <w:jc w:val="center"/>
              <w:rPr>
                <w:rFonts w:hint="eastAsia" w:ascii="仿宋" w:hAnsi="仿宋" w:eastAsia="仿宋"/>
                <w:sz w:val="24"/>
              </w:rPr>
            </w:pPr>
            <w:r>
              <w:rPr>
                <w:rFonts w:hint="eastAsia" w:ascii="仿宋" w:hAnsi="仿宋" w:eastAsia="仿宋"/>
                <w:sz w:val="24"/>
              </w:rPr>
              <w:t>0.5</w:t>
            </w:r>
          </w:p>
        </w:tc>
        <w:tc>
          <w:tcPr>
            <w:tcW w:w="1512" w:type="dxa"/>
            <w:tcBorders>
              <w:top w:val="single" w:color="auto" w:sz="6" w:space="0"/>
              <w:right w:val="single" w:color="auto" w:sz="4" w:space="0"/>
            </w:tcBorders>
            <w:vAlign w:val="center"/>
          </w:tcPr>
          <w:p>
            <w:pPr>
              <w:snapToGrid w:val="0"/>
              <w:jc w:val="center"/>
              <w:rPr>
                <w:rFonts w:hint="eastAsia" w:ascii="仿宋" w:hAnsi="仿宋" w:eastAsia="仿宋"/>
                <w:sz w:val="24"/>
              </w:rPr>
            </w:pPr>
            <w:r>
              <w:rPr>
                <w:rFonts w:hint="eastAsia" w:ascii="仿宋" w:hAnsi="仿宋" w:eastAsia="仿宋" w:cs="仿宋"/>
                <w:sz w:val="24"/>
                <w:lang w:val="zh-CN"/>
              </w:rPr>
              <w:t>校内教师</w:t>
            </w:r>
          </w:p>
        </w:tc>
        <w:tc>
          <w:tcPr>
            <w:tcW w:w="1441" w:type="dxa"/>
            <w:tcBorders>
              <w:top w:val="single" w:color="auto" w:sz="6" w:space="0"/>
              <w:left w:val="single" w:color="auto" w:sz="4" w:space="0"/>
            </w:tcBorders>
            <w:vAlign w:val="center"/>
          </w:tcPr>
          <w:p>
            <w:pPr>
              <w:snapToGrid w:val="0"/>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4" w:hRule="atLeast"/>
          <w:jc w:val="center"/>
        </w:trPr>
        <w:tc>
          <w:tcPr>
            <w:tcW w:w="1476" w:type="dxa"/>
            <w:vMerge w:val="continue"/>
            <w:vAlign w:val="center"/>
          </w:tcPr>
          <w:p>
            <w:pPr>
              <w:snapToGrid w:val="0"/>
              <w:spacing w:line="360" w:lineRule="exact"/>
              <w:jc w:val="center"/>
              <w:rPr>
                <w:rFonts w:hint="eastAsia" w:ascii="仿宋" w:hAnsi="仿宋" w:eastAsia="仿宋" w:cs="仿宋"/>
                <w:b/>
                <w:sz w:val="24"/>
              </w:rPr>
            </w:pPr>
          </w:p>
        </w:tc>
        <w:tc>
          <w:tcPr>
            <w:tcW w:w="3196" w:type="dxa"/>
            <w:vAlign w:val="center"/>
          </w:tcPr>
          <w:p>
            <w:pPr>
              <w:spacing w:line="360" w:lineRule="exact"/>
              <w:rPr>
                <w:rFonts w:hint="eastAsia" w:ascii="仿宋" w:hAnsi="仿宋" w:eastAsia="仿宋"/>
                <w:sz w:val="24"/>
              </w:rPr>
            </w:pPr>
            <w:r>
              <w:rPr>
                <w:rFonts w:hint="eastAsia" w:ascii="仿宋" w:hAnsi="仿宋" w:eastAsia="仿宋"/>
                <w:sz w:val="24"/>
              </w:rPr>
              <w:t>2.主题党日活动</w:t>
            </w:r>
            <w:r>
              <w:rPr>
                <w:rFonts w:ascii="仿宋" w:hAnsi="仿宋" w:eastAsia="仿宋"/>
                <w:sz w:val="24"/>
              </w:rPr>
              <w:t xml:space="preserve"> </w:t>
            </w:r>
          </w:p>
        </w:tc>
        <w:tc>
          <w:tcPr>
            <w:tcW w:w="1331" w:type="dxa"/>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jc w:val="center"/>
        </w:trPr>
        <w:tc>
          <w:tcPr>
            <w:tcW w:w="1476" w:type="dxa"/>
            <w:vMerge w:val="restart"/>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核心业务</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（7天）</w:t>
            </w:r>
          </w:p>
        </w:tc>
        <w:tc>
          <w:tcPr>
            <w:tcW w:w="3196" w:type="dxa"/>
            <w:vAlign w:val="center"/>
          </w:tcPr>
          <w:p>
            <w:pPr>
              <w:spacing w:line="360" w:lineRule="exact"/>
              <w:jc w:val="left"/>
              <w:rPr>
                <w:rFonts w:hint="eastAsia" w:ascii="仿宋" w:hAnsi="仿宋" w:eastAsia="仿宋"/>
                <w:sz w:val="24"/>
              </w:rPr>
            </w:pPr>
            <w:r>
              <w:rPr>
                <w:rFonts w:hint="eastAsia" w:ascii="仿宋" w:hAnsi="仿宋" w:eastAsia="仿宋" w:cs="仿宋"/>
                <w:sz w:val="24"/>
              </w:rPr>
              <w:t>1.</w:t>
            </w:r>
            <w:r>
              <w:rPr>
                <w:rFonts w:hint="eastAsia"/>
                <w:sz w:val="24"/>
              </w:rPr>
              <w:t xml:space="preserve"> </w:t>
            </w:r>
            <w:r>
              <w:rPr>
                <w:rFonts w:hint="eastAsia" w:ascii="仿宋" w:hAnsi="仿宋" w:eastAsia="仿宋" w:cs="仿宋"/>
                <w:sz w:val="24"/>
              </w:rPr>
              <w:t>二十届三中全会解读——新一轮财税体制改革中税制改革热点</w:t>
            </w:r>
          </w:p>
        </w:tc>
        <w:tc>
          <w:tcPr>
            <w:tcW w:w="1331"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196" w:type="dxa"/>
            <w:vAlign w:val="center"/>
          </w:tcPr>
          <w:p>
            <w:pPr>
              <w:snapToGrid w:val="0"/>
              <w:spacing w:line="360" w:lineRule="exact"/>
              <w:rPr>
                <w:rFonts w:hint="eastAsia" w:ascii="仿宋" w:hAnsi="仿宋" w:eastAsia="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增值税及附加税费申报表审核与重点难点政策解析</w:t>
            </w:r>
          </w:p>
        </w:tc>
        <w:tc>
          <w:tcPr>
            <w:tcW w:w="1331"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1</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196" w:type="dxa"/>
            <w:vAlign w:val="center"/>
          </w:tcPr>
          <w:p>
            <w:pPr>
              <w:snapToGrid w:val="0"/>
              <w:spacing w:line="360" w:lineRule="exact"/>
              <w:rPr>
                <w:rFonts w:hint="eastAsia" w:ascii="仿宋" w:hAnsi="仿宋" w:eastAsia="仿宋"/>
                <w:sz w:val="24"/>
              </w:rPr>
            </w:pPr>
            <w:r>
              <w:rPr>
                <w:rFonts w:hint="eastAsia" w:ascii="仿宋" w:hAnsi="仿宋" w:eastAsia="仿宋" w:cs="仿宋"/>
                <w:sz w:val="24"/>
              </w:rPr>
              <w:t>3.消费税及附加税费申报表审核与重点难点政策解析</w:t>
            </w:r>
          </w:p>
        </w:tc>
        <w:tc>
          <w:tcPr>
            <w:tcW w:w="1331"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bl>
    <w:p>
      <w:pPr>
        <w:snapToGrid w:val="0"/>
        <w:spacing w:line="360" w:lineRule="exact"/>
        <w:rPr>
          <w:rFonts w:hint="eastAsia" w:ascii="仿宋" w:hAnsi="仿宋" w:eastAsia="仿宋" w:cs="仿宋"/>
          <w:b/>
          <w:sz w:val="24"/>
        </w:rPr>
      </w:pPr>
      <w:r>
        <w:rPr>
          <w:rFonts w:hint="eastAsia" w:ascii="仿宋" w:hAnsi="仿宋" w:eastAsia="仿宋" w:cs="仿宋"/>
          <w:b/>
          <w:sz w:val="24"/>
        </w:rPr>
        <w:br w:type="page"/>
      </w:r>
    </w:p>
    <w:tbl>
      <w:tblPr>
        <w:tblStyle w:val="2"/>
        <w:tblW w:w="89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3196"/>
        <w:gridCol w:w="1331"/>
        <w:gridCol w:w="1512"/>
        <w:gridCol w:w="14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476" w:type="dxa"/>
            <w:vMerge w:val="restart"/>
            <w:vAlign w:val="center"/>
          </w:tcPr>
          <w:p>
            <w:pPr>
              <w:snapToGrid w:val="0"/>
              <w:spacing w:line="360" w:lineRule="exact"/>
              <w:rPr>
                <w:rFonts w:hint="eastAsia" w:ascii="仿宋" w:hAnsi="仿宋" w:eastAsia="仿宋" w:cs="仿宋"/>
                <w:b/>
                <w:sz w:val="24"/>
              </w:rPr>
            </w:pPr>
          </w:p>
        </w:tc>
        <w:tc>
          <w:tcPr>
            <w:tcW w:w="3196" w:type="dxa"/>
            <w:vAlign w:val="center"/>
          </w:tcPr>
          <w:p>
            <w:pPr>
              <w:snapToGrid w:val="0"/>
              <w:spacing w:line="360" w:lineRule="exact"/>
              <w:rPr>
                <w:rFonts w:hint="eastAsia" w:ascii="仿宋" w:hAnsi="仿宋" w:eastAsia="仿宋"/>
                <w:sz w:val="24"/>
              </w:rPr>
            </w:pP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出口退（免）政策、服务与税务监管</w:t>
            </w:r>
          </w:p>
        </w:tc>
        <w:tc>
          <w:tcPr>
            <w:tcW w:w="1331"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w:t>
            </w:r>
            <w:r>
              <w:rPr>
                <w:rFonts w:ascii="仿宋" w:hAnsi="仿宋" w:eastAsia="仿宋" w:cs="仿宋"/>
                <w:sz w:val="24"/>
              </w:rPr>
              <w:t>.5</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196" w:type="dxa"/>
            <w:vAlign w:val="center"/>
          </w:tcPr>
          <w:p>
            <w:pPr>
              <w:spacing w:line="360" w:lineRule="exact"/>
              <w:jc w:val="left"/>
              <w:rPr>
                <w:rFonts w:hint="eastAsia" w:ascii="仿宋" w:hAnsi="仿宋" w:eastAsia="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企业所得税申报表审核与重点难点政策解析</w:t>
            </w:r>
          </w:p>
        </w:tc>
        <w:tc>
          <w:tcPr>
            <w:tcW w:w="1331"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1</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196" w:type="dxa"/>
            <w:vAlign w:val="center"/>
          </w:tcPr>
          <w:p>
            <w:pPr>
              <w:spacing w:line="360" w:lineRule="exact"/>
              <w:jc w:val="left"/>
              <w:rPr>
                <w:rFonts w:hint="eastAsia" w:ascii="仿宋" w:hAnsi="仿宋" w:eastAsia="仿宋"/>
                <w:sz w:val="24"/>
              </w:rPr>
            </w:pPr>
            <w:r>
              <w:rPr>
                <w:rFonts w:hint="eastAsia" w:ascii="仿宋" w:hAnsi="仿宋" w:eastAsia="仿宋" w:cs="仿宋"/>
                <w:sz w:val="24"/>
              </w:rPr>
              <w:t>6.财产行为税税源明细表审核与重点难点政策解析</w:t>
            </w:r>
          </w:p>
        </w:tc>
        <w:tc>
          <w:tcPr>
            <w:tcW w:w="1331"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196" w:type="dxa"/>
            <w:vAlign w:val="center"/>
          </w:tcPr>
          <w:p>
            <w:pPr>
              <w:spacing w:line="360" w:lineRule="exact"/>
              <w:jc w:val="left"/>
              <w:rPr>
                <w:rFonts w:hint="eastAsia" w:ascii="仿宋" w:hAnsi="仿宋" w:eastAsia="仿宋"/>
                <w:sz w:val="24"/>
              </w:rPr>
            </w:pPr>
            <w:r>
              <w:rPr>
                <w:rFonts w:hint="eastAsia" w:ascii="仿宋" w:hAnsi="仿宋" w:eastAsia="仿宋" w:cs="仿宋"/>
                <w:sz w:val="24"/>
              </w:rPr>
              <w:t>7.个人所得税报表审核与重点难点政策解析</w:t>
            </w:r>
          </w:p>
        </w:tc>
        <w:tc>
          <w:tcPr>
            <w:tcW w:w="1331"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196" w:type="dxa"/>
            <w:vAlign w:val="center"/>
          </w:tcPr>
          <w:p>
            <w:pPr>
              <w:spacing w:line="360" w:lineRule="exact"/>
              <w:jc w:val="left"/>
              <w:rPr>
                <w:rFonts w:hint="eastAsia" w:ascii="仿宋" w:hAnsi="仿宋" w:eastAsia="仿宋"/>
                <w:sz w:val="24"/>
              </w:rPr>
            </w:pPr>
            <w:r>
              <w:rPr>
                <w:rFonts w:hint="eastAsia" w:ascii="仿宋" w:hAnsi="仿宋" w:eastAsia="仿宋" w:cs="仿宋"/>
                <w:sz w:val="24"/>
              </w:rPr>
              <w:t>8.社保费及非税收入重点难点政策解析</w:t>
            </w:r>
          </w:p>
        </w:tc>
        <w:tc>
          <w:tcPr>
            <w:tcW w:w="1331"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196" w:type="dxa"/>
            <w:vAlign w:val="center"/>
          </w:tcPr>
          <w:p>
            <w:pPr>
              <w:spacing w:line="360" w:lineRule="exact"/>
              <w:jc w:val="left"/>
              <w:rPr>
                <w:rFonts w:hint="eastAsia" w:ascii="仿宋" w:hAnsi="仿宋" w:eastAsia="仿宋"/>
                <w:sz w:val="24"/>
              </w:rPr>
            </w:pPr>
            <w:r>
              <w:rPr>
                <w:rFonts w:hint="eastAsia" w:ascii="仿宋" w:hAnsi="仿宋" w:eastAsia="仿宋" w:cs="仿宋"/>
                <w:sz w:val="24"/>
              </w:rPr>
              <w:t>9.基于“一体式”防控下虚开发票形式、识别及预防</w:t>
            </w:r>
          </w:p>
        </w:tc>
        <w:tc>
          <w:tcPr>
            <w:tcW w:w="1331" w:type="dxa"/>
            <w:vAlign w:val="center"/>
          </w:tcPr>
          <w:p>
            <w:pPr>
              <w:snapToGrid w:val="0"/>
              <w:spacing w:line="360" w:lineRule="exact"/>
              <w:jc w:val="center"/>
              <w:rPr>
                <w:rFonts w:hint="eastAsia" w:ascii="仿宋" w:hAnsi="仿宋" w:eastAsia="仿宋"/>
                <w:sz w:val="24"/>
              </w:rPr>
            </w:pPr>
            <w:r>
              <w:rPr>
                <w:rFonts w:ascii="仿宋" w:hAnsi="仿宋" w:eastAsia="仿宋" w:cs="仿宋"/>
                <w:sz w:val="24"/>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专题研讨式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196" w:type="dxa"/>
            <w:vAlign w:val="center"/>
          </w:tcPr>
          <w:p>
            <w:pPr>
              <w:spacing w:line="360" w:lineRule="exact"/>
              <w:jc w:val="left"/>
              <w:rPr>
                <w:rFonts w:hint="eastAsia" w:ascii="仿宋" w:hAnsi="仿宋" w:eastAsia="仿宋"/>
                <w:sz w:val="24"/>
              </w:rPr>
            </w:pPr>
            <w:r>
              <w:rPr>
                <w:rFonts w:hint="eastAsia" w:ascii="仿宋" w:hAnsi="仿宋" w:eastAsia="仿宋" w:cs="仿宋"/>
                <w:sz w:val="24"/>
              </w:rPr>
              <w:t>10</w:t>
            </w:r>
            <w:r>
              <w:rPr>
                <w:rFonts w:ascii="仿宋" w:hAnsi="仿宋" w:eastAsia="仿宋" w:cs="仿宋"/>
                <w:sz w:val="24"/>
              </w:rPr>
              <w:t>.</w:t>
            </w:r>
            <w:r>
              <w:rPr>
                <w:rFonts w:hint="eastAsia" w:ascii="仿宋" w:hAnsi="仿宋" w:eastAsia="仿宋" w:cs="仿宋"/>
                <w:sz w:val="24"/>
              </w:rPr>
              <w:t>全税费种联动风险分析实战化演练</w:t>
            </w:r>
          </w:p>
        </w:tc>
        <w:tc>
          <w:tcPr>
            <w:tcW w:w="1331"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1</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案例研讨式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196" w:type="dxa"/>
            <w:vAlign w:val="center"/>
          </w:tcPr>
          <w:p>
            <w:pPr>
              <w:snapToGrid w:val="0"/>
              <w:spacing w:line="360" w:lineRule="exact"/>
              <w:rPr>
                <w:rFonts w:hint="eastAsia" w:ascii="仿宋" w:hAnsi="仿宋" w:eastAsia="仿宋"/>
                <w:sz w:val="24"/>
              </w:rPr>
            </w:pPr>
            <w:r>
              <w:rPr>
                <w:rFonts w:hint="eastAsia" w:ascii="仿宋" w:hAnsi="仿宋" w:eastAsia="仿宋" w:cs="仿宋"/>
                <w:sz w:val="24"/>
              </w:rPr>
              <w:t>11.研讨交流：全税费种融合在税收工作中的必要性及体现</w:t>
            </w:r>
          </w:p>
        </w:tc>
        <w:tc>
          <w:tcPr>
            <w:tcW w:w="1331"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7" w:hRule="atLeast"/>
          <w:jc w:val="center"/>
        </w:trPr>
        <w:tc>
          <w:tcPr>
            <w:tcW w:w="1476" w:type="dxa"/>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非课程环节（2天）</w:t>
            </w:r>
          </w:p>
        </w:tc>
        <w:tc>
          <w:tcPr>
            <w:tcW w:w="3196" w:type="dxa"/>
            <w:vAlign w:val="center"/>
          </w:tcPr>
          <w:p>
            <w:pPr>
              <w:snapToGrid w:val="0"/>
              <w:spacing w:line="360" w:lineRule="exact"/>
              <w:rPr>
                <w:rFonts w:hint="eastAsia" w:ascii="仿宋" w:hAnsi="仿宋" w:eastAsia="仿宋"/>
                <w:sz w:val="24"/>
              </w:rPr>
            </w:pPr>
            <w:r>
              <w:rPr>
                <w:rFonts w:hint="eastAsia" w:ascii="仿宋" w:hAnsi="仿宋" w:eastAsia="仿宋"/>
                <w:sz w:val="24"/>
              </w:rPr>
              <w:t>1.报到、返程</w:t>
            </w:r>
          </w:p>
        </w:tc>
        <w:tc>
          <w:tcPr>
            <w:tcW w:w="1331" w:type="dxa"/>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2</w:t>
            </w:r>
          </w:p>
        </w:tc>
        <w:tc>
          <w:tcPr>
            <w:tcW w:w="1512"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总务处</w:t>
            </w:r>
          </w:p>
        </w:tc>
        <w:tc>
          <w:tcPr>
            <w:tcW w:w="1441" w:type="dxa"/>
          </w:tcPr>
          <w:p>
            <w:pPr>
              <w:spacing w:line="360" w:lineRule="exact"/>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672" w:type="dxa"/>
            <w:gridSpan w:val="2"/>
            <w:tcBorders>
              <w:bottom w:val="single" w:color="auto" w:sz="12" w:space="0"/>
            </w:tcBorders>
          </w:tcPr>
          <w:p>
            <w:pPr>
              <w:snapToGrid w:val="0"/>
              <w:spacing w:line="360" w:lineRule="exact"/>
              <w:jc w:val="center"/>
              <w:rPr>
                <w:rFonts w:hint="eastAsia" w:ascii="仿宋" w:hAnsi="仿宋" w:eastAsia="仿宋" w:cs="仿宋"/>
                <w:sz w:val="24"/>
              </w:rPr>
            </w:pPr>
            <w:r>
              <w:rPr>
                <w:rFonts w:hint="eastAsia" w:ascii="仿宋" w:hAnsi="仿宋" w:eastAsia="仿宋" w:cs="仿宋"/>
                <w:b/>
                <w:bCs/>
                <w:sz w:val="24"/>
              </w:rPr>
              <w:t>合计</w:t>
            </w:r>
          </w:p>
        </w:tc>
        <w:tc>
          <w:tcPr>
            <w:tcW w:w="4284" w:type="dxa"/>
            <w:gridSpan w:val="3"/>
            <w:tcBorders>
              <w:bottom w:val="single" w:color="auto" w:sz="12" w:space="0"/>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10</w:t>
            </w:r>
          </w:p>
        </w:tc>
      </w:tr>
    </w:tbl>
    <w:p>
      <w:pPr>
        <w:snapToGrid w:val="0"/>
        <w:spacing w:line="360" w:lineRule="auto"/>
        <w:rPr>
          <w:rFonts w:hint="eastAsia" w:ascii="仿宋" w:hAnsi="仿宋" w:eastAsia="仿宋" w:cs="仿宋"/>
          <w:sz w:val="32"/>
          <w:szCs w:val="32"/>
        </w:rPr>
      </w:pPr>
    </w:p>
    <w:p>
      <w:pPr>
        <w:rPr>
          <w:rFonts w:hint="eastAsia" w:ascii="黑体" w:hAnsi="黑体" w:eastAsia="黑体"/>
          <w:sz w:val="32"/>
          <w:szCs w:val="32"/>
        </w:rPr>
      </w:pPr>
      <w:r>
        <w:rPr>
          <w:rFonts w:hint="eastAsia" w:ascii="黑体" w:hAnsi="黑体" w:eastAsia="黑体"/>
          <w:sz w:val="32"/>
          <w:szCs w:val="32"/>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56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2025-01-06T07:27:45Z</dcterms:created>
  <dc:creator>Administrator</dc:creator>
  <cp:lastModifiedBy>Administrator</cp:lastModifiedBy>
  <dcterms:modified xsi:type="dcterms:W3CDTF">2025-01-06T07:27:50Z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